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D13" w:rsidRPr="00691D13" w:rsidRDefault="00691D13" w:rsidP="00691D13">
      <w:pPr>
        <w:spacing w:line="480" w:lineRule="auto"/>
        <w:rPr>
          <w:rFonts w:ascii="Times New Roman" w:hAnsi="Times New Roman" w:cs="Times New Roman"/>
          <w:sz w:val="24"/>
        </w:rPr>
      </w:pPr>
    </w:p>
    <w:p w:rsidR="00691D13" w:rsidRPr="00691D13" w:rsidRDefault="00691D13" w:rsidP="00691D13">
      <w:pPr>
        <w:spacing w:line="480" w:lineRule="auto"/>
        <w:rPr>
          <w:rFonts w:ascii="Times New Roman" w:hAnsi="Times New Roman" w:cs="Times New Roman"/>
          <w:sz w:val="24"/>
        </w:rPr>
      </w:pPr>
    </w:p>
    <w:p w:rsidR="00691D13" w:rsidRPr="00691D13" w:rsidRDefault="00691D13" w:rsidP="00691D13">
      <w:pPr>
        <w:spacing w:line="480" w:lineRule="auto"/>
        <w:rPr>
          <w:rFonts w:ascii="Times New Roman" w:hAnsi="Times New Roman" w:cs="Times New Roman"/>
          <w:sz w:val="24"/>
        </w:rPr>
      </w:pPr>
    </w:p>
    <w:p w:rsidR="00691D13" w:rsidRPr="00691D13" w:rsidRDefault="00691D13" w:rsidP="00691D13">
      <w:pPr>
        <w:spacing w:line="480" w:lineRule="auto"/>
        <w:rPr>
          <w:rFonts w:ascii="Times New Roman" w:hAnsi="Times New Roman" w:cs="Times New Roman"/>
          <w:sz w:val="24"/>
        </w:rPr>
      </w:pPr>
    </w:p>
    <w:p w:rsidR="00691D13" w:rsidRPr="00691D13" w:rsidRDefault="00691D13" w:rsidP="00691D13">
      <w:pPr>
        <w:spacing w:line="480" w:lineRule="auto"/>
        <w:rPr>
          <w:rFonts w:ascii="Times New Roman" w:hAnsi="Times New Roman" w:cs="Times New Roman"/>
          <w:sz w:val="24"/>
        </w:rPr>
      </w:pPr>
    </w:p>
    <w:p w:rsidR="00691D13" w:rsidRPr="00691D13" w:rsidRDefault="00691D13" w:rsidP="00691D13">
      <w:pPr>
        <w:spacing w:line="480" w:lineRule="auto"/>
        <w:jc w:val="center"/>
        <w:rPr>
          <w:rFonts w:ascii="Times New Roman" w:hAnsi="Times New Roman" w:cs="Times New Roman"/>
          <w:sz w:val="24"/>
        </w:rPr>
      </w:pPr>
      <w:r w:rsidRPr="00691D13">
        <w:rPr>
          <w:rFonts w:ascii="Times New Roman" w:hAnsi="Times New Roman" w:cs="Times New Roman"/>
          <w:sz w:val="24"/>
        </w:rPr>
        <w:t>Charitable Strategic Partnerships</w:t>
      </w:r>
    </w:p>
    <w:p w:rsidR="00691D13" w:rsidRPr="00691D13" w:rsidRDefault="00691D13" w:rsidP="00691D13">
      <w:pPr>
        <w:spacing w:line="480" w:lineRule="auto"/>
        <w:jc w:val="center"/>
        <w:rPr>
          <w:rFonts w:ascii="Times New Roman" w:hAnsi="Times New Roman" w:cs="Times New Roman"/>
          <w:sz w:val="24"/>
        </w:rPr>
      </w:pPr>
      <w:r w:rsidRPr="00691D13">
        <w:rPr>
          <w:rFonts w:ascii="Times New Roman" w:hAnsi="Times New Roman" w:cs="Times New Roman"/>
          <w:sz w:val="24"/>
        </w:rPr>
        <w:t>Name of Student</w:t>
      </w:r>
    </w:p>
    <w:p w:rsidR="00691D13" w:rsidRPr="00691D13" w:rsidRDefault="00691D13" w:rsidP="00691D13">
      <w:pPr>
        <w:spacing w:line="480" w:lineRule="auto"/>
        <w:jc w:val="center"/>
        <w:rPr>
          <w:rFonts w:ascii="Times New Roman" w:hAnsi="Times New Roman" w:cs="Times New Roman"/>
          <w:sz w:val="24"/>
        </w:rPr>
      </w:pPr>
      <w:r w:rsidRPr="00691D13">
        <w:rPr>
          <w:rFonts w:ascii="Times New Roman" w:hAnsi="Times New Roman" w:cs="Times New Roman"/>
          <w:sz w:val="24"/>
        </w:rPr>
        <w:t>Name of Institution</w:t>
      </w:r>
    </w:p>
    <w:p w:rsidR="00691D13" w:rsidRPr="00691D13" w:rsidRDefault="00691D13" w:rsidP="00691D13">
      <w:pPr>
        <w:spacing w:line="480" w:lineRule="auto"/>
        <w:jc w:val="center"/>
        <w:rPr>
          <w:rFonts w:ascii="Times New Roman" w:hAnsi="Times New Roman" w:cs="Times New Roman"/>
          <w:sz w:val="24"/>
        </w:rPr>
      </w:pPr>
      <w:r w:rsidRPr="00691D13">
        <w:rPr>
          <w:rFonts w:ascii="Times New Roman" w:hAnsi="Times New Roman" w:cs="Times New Roman"/>
          <w:sz w:val="24"/>
        </w:rPr>
        <w:t xml:space="preserve">Date </w:t>
      </w:r>
      <w:r w:rsidRPr="00691D13">
        <w:rPr>
          <w:rFonts w:ascii="Times New Roman" w:hAnsi="Times New Roman" w:cs="Times New Roman"/>
          <w:sz w:val="24"/>
        </w:rPr>
        <w:br w:type="page"/>
      </w:r>
    </w:p>
    <w:p w:rsidR="000A0CE2" w:rsidRPr="00691D13" w:rsidRDefault="000A0CE2" w:rsidP="00691D13">
      <w:pPr>
        <w:spacing w:line="480" w:lineRule="auto"/>
        <w:ind w:firstLine="720"/>
        <w:rPr>
          <w:rFonts w:ascii="Times New Roman" w:hAnsi="Times New Roman" w:cs="Times New Roman"/>
          <w:sz w:val="24"/>
        </w:rPr>
      </w:pPr>
      <w:r w:rsidRPr="00691D13">
        <w:rPr>
          <w:rFonts w:ascii="Times New Roman" w:hAnsi="Times New Roman" w:cs="Times New Roman"/>
          <w:sz w:val="24"/>
        </w:rPr>
        <w:lastRenderedPageBreak/>
        <w:t xml:space="preserve">The concept behind the organization 'Giving Tuesday' is strategic to capitalize on the Tuesday following the celebrations of the American Thanksgiving. The date setting is critical since it utilizes the upcoming festive season for charitable giving purposes. The birth of the concept behind the organization was in the year 2012 by the 92nd Street Y, with critical influence from the United Nations Foundation. The initiation of the initiative behind 'Giving Tuesday' is an appropriate counteraction against the consumerism and commercialization of the current events after the Thanksgiving season, namely the Black Friday and the Cyber Monday (Giving Tuesday). The charitable initiative was an essential foundation of why the organization garnered a lot of traffic. However, traffic was not adequate for success. Partnerships have proved beneficial for the organization with relevant results indicating success. </w:t>
      </w:r>
    </w:p>
    <w:p w:rsidR="000A0CE2" w:rsidRPr="00691D13" w:rsidRDefault="000A0CE2" w:rsidP="00691D13">
      <w:pPr>
        <w:spacing w:line="480" w:lineRule="auto"/>
        <w:ind w:firstLine="720"/>
        <w:rPr>
          <w:rFonts w:ascii="Times New Roman" w:hAnsi="Times New Roman" w:cs="Times New Roman"/>
          <w:sz w:val="24"/>
        </w:rPr>
      </w:pPr>
      <w:r w:rsidRPr="00691D13">
        <w:rPr>
          <w:rFonts w:ascii="Times New Roman" w:hAnsi="Times New Roman" w:cs="Times New Roman"/>
          <w:sz w:val="24"/>
        </w:rPr>
        <w:t xml:space="preserve">In the case of 'Giving Tuesday,' their different alliances allow them to influence different communities all over the world through generosity positively. The central core of the organization is helping out, which is an attractive aspect to many commercials, government, and personal figures. Some of the strategic partnerships that the organization has capitalized include technology companies. The role of the founders of such corporations and the organizations include donating but also promoting the events under the umbrella of 'Giving Tuesday.' The mode of promotion that such companies exhaust has brought about worldwide awareness of the charitable organization and the single event that it is founded upon. The influence of technology companies is global, and thus the awareness brought about is of similar magnitude. </w:t>
      </w:r>
    </w:p>
    <w:p w:rsidR="000A0CE2" w:rsidRPr="00691D13" w:rsidRDefault="000A0CE2" w:rsidP="00691D13">
      <w:pPr>
        <w:spacing w:line="480" w:lineRule="auto"/>
        <w:ind w:firstLine="720"/>
        <w:rPr>
          <w:rFonts w:ascii="Times New Roman" w:hAnsi="Times New Roman" w:cs="Times New Roman"/>
          <w:sz w:val="24"/>
        </w:rPr>
      </w:pPr>
      <w:r w:rsidRPr="00691D13">
        <w:rPr>
          <w:rFonts w:ascii="Times New Roman" w:hAnsi="Times New Roman" w:cs="Times New Roman"/>
          <w:sz w:val="24"/>
        </w:rPr>
        <w:t xml:space="preserve">Additionally, the founders and corporations also demonstrate their cooperation and support through open donations. Such actions prompt and instigate trust from other members, influential and less significant, who align with the values held by such candidates and companies. Such donations include; Dustin Moskovitz's foundation titles Good Ventures </w:t>
      </w:r>
      <w:r w:rsidRPr="00691D13">
        <w:rPr>
          <w:rFonts w:ascii="Times New Roman" w:hAnsi="Times New Roman" w:cs="Times New Roman"/>
          <w:sz w:val="24"/>
        </w:rPr>
        <w:lastRenderedPageBreak/>
        <w:t xml:space="preserve">announced $5 million matching grants to GiveDirectly and $75,000 matching funds by Steve Case. </w:t>
      </w:r>
    </w:p>
    <w:p w:rsidR="000A0CE2" w:rsidRPr="00691D13" w:rsidRDefault="000A0CE2" w:rsidP="00691D13">
      <w:pPr>
        <w:spacing w:line="480" w:lineRule="auto"/>
        <w:ind w:firstLine="720"/>
        <w:rPr>
          <w:rFonts w:ascii="Times New Roman" w:hAnsi="Times New Roman" w:cs="Times New Roman"/>
          <w:sz w:val="24"/>
        </w:rPr>
      </w:pPr>
      <w:r w:rsidRPr="00691D13">
        <w:rPr>
          <w:rFonts w:ascii="Times New Roman" w:hAnsi="Times New Roman" w:cs="Times New Roman"/>
          <w:sz w:val="24"/>
        </w:rPr>
        <w:t xml:space="preserve">Strategic partnerships also have to allow for participation by partners without any extreme imbalance in the routine that may harm private or corporate timelines. The structure of the 'Giving Tuesday' foundation takes place one day in a year, accounting for a date that may extend up to five days after Thanksgiving. The structure improves participation since all efforts can be coordinated towards that single day, with multiple partners bringing about publicity and awareness globally. The allies of the foundation can thus adequately structure the event into their schedules without interfering in theirs, and actively participate through a myriad of various donating platforms directed towards the same cause (Boland, 2015). The structure is more appropriate than a single donation platform since it provides flexibility and freedom to experience and practice charity events as one might opt to. </w:t>
      </w:r>
    </w:p>
    <w:p w:rsidR="000A0CE2" w:rsidRPr="00691D13" w:rsidRDefault="000A0CE2" w:rsidP="00691D13">
      <w:pPr>
        <w:spacing w:line="480" w:lineRule="auto"/>
        <w:ind w:firstLine="720"/>
        <w:rPr>
          <w:rFonts w:ascii="Times New Roman" w:hAnsi="Times New Roman" w:cs="Times New Roman"/>
          <w:sz w:val="24"/>
        </w:rPr>
      </w:pPr>
      <w:r w:rsidRPr="00691D13">
        <w:rPr>
          <w:rFonts w:ascii="Times New Roman" w:hAnsi="Times New Roman" w:cs="Times New Roman"/>
          <w:sz w:val="24"/>
        </w:rPr>
        <w:t xml:space="preserve">The building of a better world requires an innovative foundation that goes against the norm or established a culture in opposition to generalized welfare. The context of partnerships is critical in the establishment of a global forum, which not only proves vital in donations but also in connection. It is also essential that the structure adopted for any form of partnership provides flexibility and freedom to motivate cooperation without friction within the structure and from outside. </w:t>
      </w:r>
    </w:p>
    <w:p w:rsidR="000A0CE2" w:rsidRPr="00691D13" w:rsidRDefault="000A0CE2" w:rsidP="00691D13">
      <w:pPr>
        <w:spacing w:line="480" w:lineRule="auto"/>
        <w:rPr>
          <w:rFonts w:ascii="Times New Roman" w:hAnsi="Times New Roman" w:cs="Times New Roman"/>
          <w:sz w:val="24"/>
        </w:rPr>
      </w:pPr>
      <w:r w:rsidRPr="00691D13">
        <w:rPr>
          <w:rFonts w:ascii="Times New Roman" w:hAnsi="Times New Roman" w:cs="Times New Roman"/>
          <w:sz w:val="24"/>
        </w:rPr>
        <w:br w:type="page"/>
      </w:r>
    </w:p>
    <w:p w:rsidR="000A0CE2" w:rsidRPr="00691D13" w:rsidRDefault="000A0CE2" w:rsidP="00691D13">
      <w:pPr>
        <w:spacing w:line="480" w:lineRule="auto"/>
        <w:jc w:val="center"/>
        <w:rPr>
          <w:rFonts w:ascii="Times New Roman" w:hAnsi="Times New Roman" w:cs="Times New Roman"/>
          <w:sz w:val="24"/>
        </w:rPr>
      </w:pPr>
      <w:r w:rsidRPr="00691D13">
        <w:rPr>
          <w:rFonts w:ascii="Times New Roman" w:hAnsi="Times New Roman" w:cs="Times New Roman"/>
          <w:sz w:val="24"/>
        </w:rPr>
        <w:lastRenderedPageBreak/>
        <w:t>References</w:t>
      </w:r>
    </w:p>
    <w:p w:rsidR="000A0CE2" w:rsidRPr="00691D13" w:rsidRDefault="000A0CE2" w:rsidP="00691D13">
      <w:pPr>
        <w:spacing w:line="480" w:lineRule="auto"/>
        <w:ind w:left="720" w:hanging="720"/>
        <w:rPr>
          <w:rFonts w:ascii="Times New Roman" w:hAnsi="Times New Roman" w:cs="Times New Roman"/>
          <w:sz w:val="24"/>
        </w:rPr>
      </w:pPr>
      <w:r w:rsidRPr="00691D13">
        <w:rPr>
          <w:rFonts w:ascii="Times New Roman" w:hAnsi="Times New Roman" w:cs="Times New Roman"/>
          <w:sz w:val="24"/>
        </w:rPr>
        <w:t>Boland, S. (2015, January 20). The giving days model: Collaboration, Federation, or Unification? Retrieved November 28, 2019, from Non-Profit Quarterly: https://nonprofitquarterly.org/giving-days-structures-model-crowdfunding-givingtuesday/</w:t>
      </w:r>
    </w:p>
    <w:p w:rsidR="000A0CE2" w:rsidRPr="00691D13" w:rsidRDefault="000A0CE2" w:rsidP="00691D13">
      <w:pPr>
        <w:spacing w:line="480" w:lineRule="auto"/>
        <w:ind w:left="720" w:hanging="720"/>
        <w:rPr>
          <w:rFonts w:ascii="Times New Roman" w:hAnsi="Times New Roman" w:cs="Times New Roman"/>
          <w:sz w:val="24"/>
        </w:rPr>
      </w:pPr>
      <w:r w:rsidRPr="00691D13">
        <w:rPr>
          <w:rFonts w:ascii="Times New Roman" w:hAnsi="Times New Roman" w:cs="Times New Roman"/>
          <w:sz w:val="24"/>
        </w:rPr>
        <w:t>Giving Tuesday. (n.d.). About Giving Tuesday. Retrieved November 28, 2019, from Giving Tuesday: https://www.givingtuesday.org/about</w:t>
      </w:r>
    </w:p>
    <w:p w:rsidR="00D53AFA" w:rsidRPr="00691D13" w:rsidRDefault="00D53AFA" w:rsidP="00691D13">
      <w:pPr>
        <w:spacing w:line="480" w:lineRule="auto"/>
        <w:rPr>
          <w:rFonts w:ascii="Times New Roman" w:hAnsi="Times New Roman" w:cs="Times New Roman"/>
          <w:sz w:val="24"/>
        </w:rPr>
      </w:pPr>
    </w:p>
    <w:sectPr w:rsidR="00D53AFA" w:rsidRPr="00691D13" w:rsidSect="00691D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0047" w:rsidRDefault="00880047" w:rsidP="00691D13">
      <w:pPr>
        <w:spacing w:after="0" w:line="240" w:lineRule="auto"/>
      </w:pPr>
      <w:r>
        <w:separator/>
      </w:r>
    </w:p>
  </w:endnote>
  <w:endnote w:type="continuationSeparator" w:id="1">
    <w:p w:rsidR="00880047" w:rsidRDefault="00880047" w:rsidP="00691D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0047" w:rsidRDefault="00880047" w:rsidP="00691D13">
      <w:pPr>
        <w:spacing w:after="0" w:line="240" w:lineRule="auto"/>
      </w:pPr>
      <w:r>
        <w:separator/>
      </w:r>
    </w:p>
  </w:footnote>
  <w:footnote w:type="continuationSeparator" w:id="1">
    <w:p w:rsidR="00880047" w:rsidRDefault="00880047" w:rsidP="00691D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3" w:rsidRPr="00691D13" w:rsidRDefault="00691D13">
    <w:pPr>
      <w:pStyle w:val="Header"/>
      <w:jc w:val="right"/>
      <w:rPr>
        <w:rFonts w:ascii="Times New Roman" w:hAnsi="Times New Roman" w:cs="Times New Roman"/>
        <w:sz w:val="24"/>
      </w:rPr>
    </w:pPr>
    <w:r w:rsidRPr="00691D13">
      <w:rPr>
        <w:rFonts w:ascii="Times New Roman" w:hAnsi="Times New Roman" w:cs="Times New Roman"/>
        <w:sz w:val="24"/>
      </w:rPr>
      <w:t>CHARITABLE STRATEGIC PARTNERSHIPS</w:t>
    </w:r>
    <w:r w:rsidRPr="00691D13">
      <w:rPr>
        <w:rFonts w:ascii="Times New Roman" w:hAnsi="Times New Roman" w:cs="Times New Roman"/>
        <w:sz w:val="24"/>
      </w:rPr>
      <w:tab/>
    </w:r>
    <w:sdt>
      <w:sdtPr>
        <w:rPr>
          <w:rFonts w:ascii="Times New Roman" w:hAnsi="Times New Roman" w:cs="Times New Roman"/>
          <w:sz w:val="24"/>
        </w:rPr>
        <w:id w:val="69620715"/>
        <w:docPartObj>
          <w:docPartGallery w:val="Page Numbers (Top of Page)"/>
          <w:docPartUnique/>
        </w:docPartObj>
      </w:sdtPr>
      <w:sdtContent>
        <w:r w:rsidRPr="00691D13">
          <w:rPr>
            <w:rFonts w:ascii="Times New Roman" w:hAnsi="Times New Roman" w:cs="Times New Roman"/>
            <w:sz w:val="24"/>
          </w:rPr>
          <w:fldChar w:fldCharType="begin"/>
        </w:r>
        <w:r w:rsidRPr="00691D13">
          <w:rPr>
            <w:rFonts w:ascii="Times New Roman" w:hAnsi="Times New Roman" w:cs="Times New Roman"/>
            <w:sz w:val="24"/>
          </w:rPr>
          <w:instrText xml:space="preserve"> PAGE   \* MERGEFORMAT </w:instrText>
        </w:r>
        <w:r w:rsidRPr="00691D13">
          <w:rPr>
            <w:rFonts w:ascii="Times New Roman" w:hAnsi="Times New Roman" w:cs="Times New Roman"/>
            <w:sz w:val="24"/>
          </w:rPr>
          <w:fldChar w:fldCharType="separate"/>
        </w:r>
        <w:r>
          <w:rPr>
            <w:rFonts w:ascii="Times New Roman" w:hAnsi="Times New Roman" w:cs="Times New Roman"/>
            <w:noProof/>
            <w:sz w:val="24"/>
          </w:rPr>
          <w:t>2</w:t>
        </w:r>
        <w:r w:rsidRPr="00691D13">
          <w:rPr>
            <w:rFonts w:ascii="Times New Roman" w:hAnsi="Times New Roman" w:cs="Times New Roman"/>
            <w:sz w:val="24"/>
          </w:rPr>
          <w:fldChar w:fldCharType="end"/>
        </w:r>
      </w:sdtContent>
    </w:sdt>
  </w:p>
  <w:p w:rsidR="00691D13" w:rsidRPr="00691D13" w:rsidRDefault="00691D13">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D13" w:rsidRPr="00691D13" w:rsidRDefault="00691D13">
    <w:pPr>
      <w:pStyle w:val="Header"/>
      <w:jc w:val="right"/>
      <w:rPr>
        <w:rFonts w:ascii="Times New Roman" w:hAnsi="Times New Roman" w:cs="Times New Roman"/>
        <w:sz w:val="24"/>
      </w:rPr>
    </w:pPr>
    <w:r w:rsidRPr="00691D13">
      <w:rPr>
        <w:rFonts w:ascii="Times New Roman" w:hAnsi="Times New Roman" w:cs="Times New Roman"/>
        <w:sz w:val="24"/>
      </w:rPr>
      <w:t xml:space="preserve">Running Head: CHARITABLE STRATEGIC PARTNERSHIPS </w:t>
    </w:r>
    <w:r w:rsidRPr="00691D13">
      <w:rPr>
        <w:rFonts w:ascii="Times New Roman" w:hAnsi="Times New Roman" w:cs="Times New Roman"/>
        <w:sz w:val="24"/>
      </w:rPr>
      <w:tab/>
    </w:r>
    <w:sdt>
      <w:sdtPr>
        <w:rPr>
          <w:rFonts w:ascii="Times New Roman" w:hAnsi="Times New Roman" w:cs="Times New Roman"/>
          <w:sz w:val="24"/>
        </w:rPr>
        <w:id w:val="69620749"/>
        <w:docPartObj>
          <w:docPartGallery w:val="Page Numbers (Top of Page)"/>
          <w:docPartUnique/>
        </w:docPartObj>
      </w:sdtPr>
      <w:sdtContent>
        <w:r w:rsidRPr="00691D13">
          <w:rPr>
            <w:rFonts w:ascii="Times New Roman" w:hAnsi="Times New Roman" w:cs="Times New Roman"/>
            <w:sz w:val="24"/>
          </w:rPr>
          <w:fldChar w:fldCharType="begin"/>
        </w:r>
        <w:r w:rsidRPr="00691D13">
          <w:rPr>
            <w:rFonts w:ascii="Times New Roman" w:hAnsi="Times New Roman" w:cs="Times New Roman"/>
            <w:sz w:val="24"/>
          </w:rPr>
          <w:instrText xml:space="preserve"> PAGE   \* MERGEFORMAT </w:instrText>
        </w:r>
        <w:r w:rsidRPr="00691D13">
          <w:rPr>
            <w:rFonts w:ascii="Times New Roman" w:hAnsi="Times New Roman" w:cs="Times New Roman"/>
            <w:sz w:val="24"/>
          </w:rPr>
          <w:fldChar w:fldCharType="separate"/>
        </w:r>
        <w:r>
          <w:rPr>
            <w:rFonts w:ascii="Times New Roman" w:hAnsi="Times New Roman" w:cs="Times New Roman"/>
            <w:noProof/>
            <w:sz w:val="24"/>
          </w:rPr>
          <w:t>1</w:t>
        </w:r>
        <w:r w:rsidRPr="00691D13">
          <w:rPr>
            <w:rFonts w:ascii="Times New Roman" w:hAnsi="Times New Roman" w:cs="Times New Roman"/>
            <w:sz w:val="24"/>
          </w:rPr>
          <w:fldChar w:fldCharType="end"/>
        </w:r>
      </w:sdtContent>
    </w:sdt>
  </w:p>
  <w:p w:rsidR="00691D13" w:rsidRPr="00691D13" w:rsidRDefault="00691D13">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5726A"/>
    <w:rsid w:val="000A0CE2"/>
    <w:rsid w:val="0035726A"/>
    <w:rsid w:val="00684C5A"/>
    <w:rsid w:val="00691D13"/>
    <w:rsid w:val="007D1524"/>
    <w:rsid w:val="00880047"/>
    <w:rsid w:val="009D6C49"/>
    <w:rsid w:val="00D53A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53AFA"/>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53A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3AFA"/>
    <w:rPr>
      <w:rFonts w:ascii="Tahoma" w:hAnsi="Tahoma" w:cs="Tahoma"/>
      <w:sz w:val="16"/>
      <w:szCs w:val="16"/>
    </w:rPr>
  </w:style>
  <w:style w:type="character" w:customStyle="1" w:styleId="Heading1Char">
    <w:name w:val="Heading 1 Char"/>
    <w:basedOn w:val="DefaultParagraphFont"/>
    <w:link w:val="Heading1"/>
    <w:uiPriority w:val="9"/>
    <w:rsid w:val="00D53AFA"/>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D53AFA"/>
  </w:style>
  <w:style w:type="paragraph" w:styleId="Header">
    <w:name w:val="header"/>
    <w:basedOn w:val="Normal"/>
    <w:link w:val="HeaderChar"/>
    <w:uiPriority w:val="99"/>
    <w:unhideWhenUsed/>
    <w:rsid w:val="00691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D13"/>
  </w:style>
  <w:style w:type="paragraph" w:styleId="Footer">
    <w:name w:val="footer"/>
    <w:basedOn w:val="Normal"/>
    <w:link w:val="FooterChar"/>
    <w:uiPriority w:val="99"/>
    <w:semiHidden/>
    <w:unhideWhenUsed/>
    <w:rsid w:val="00691D1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1D1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Bol15</b:Tag>
    <b:SourceType>InternetSite</b:SourceType>
    <b:Guid>{DBE73869-BFEF-4585-9896-31EBD8761702}</b:Guid>
    <b:LCID>0</b:LCID>
    <b:Author>
      <b:Author>
        <b:NameList>
          <b:Person>
            <b:Last>Boland</b:Last>
            <b:First>Steve</b:First>
          </b:Person>
        </b:NameList>
      </b:Author>
    </b:Author>
    <b:Title>The giving days model: Collaboration, Federation, or Unification?</b:Title>
    <b:Year>2015</b:Year>
    <b:InternetSiteTitle>Non-Profit Quarterly</b:InternetSiteTitle>
    <b:Month>January</b:Month>
    <b:Day>20</b:Day>
    <b:YearAccessed>2019</b:YearAccessed>
    <b:MonthAccessed>November</b:MonthAccessed>
    <b:DayAccessed>28</b:DayAccessed>
    <b:URL>https://nonprofitquarterly.org/giving-days-structures-model-crowdfunding-givingtuesday/</b:URL>
    <b:RefOrder>2</b:RefOrder>
  </b:Source>
  <b:Source>
    <b:Tag>Giv19</b:Tag>
    <b:SourceType>InternetSite</b:SourceType>
    <b:Guid>{3B198768-0ACD-4E5F-B3A1-D4C3DD2AFF2A}</b:Guid>
    <b:LCID>0</b:LCID>
    <b:Author>
      <b:Author>
        <b:Corporate>Giving Tuesday</b:Corporate>
      </b:Author>
    </b:Author>
    <b:Title>About Giving Tuesday</b:Title>
    <b:InternetSiteTitle>Giving Tuesday</b:InternetSiteTitle>
    <b:YearAccessed>2019</b:YearAccessed>
    <b:MonthAccessed>November</b:MonthAccessed>
    <b:DayAccessed>28</b:DayAccessed>
    <b:URL>https://www.givingtuesday.org/about</b:URL>
    <b:RefOrder>1</b:RefOrder>
  </b:Source>
</b:Sources>
</file>

<file path=customXml/itemProps1.xml><?xml version="1.0" encoding="utf-8"?>
<ds:datastoreItem xmlns:ds="http://schemas.openxmlformats.org/officeDocument/2006/customXml" ds:itemID="{AD0CFCE6-ED85-4A22-94C0-23C51AE56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2019-11-28T11:01:00Z</dcterms:created>
  <dcterms:modified xsi:type="dcterms:W3CDTF">2019-11-28T14:07:00Z</dcterms:modified>
</cp:coreProperties>
</file>